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61FF9" w14:textId="77777777" w:rsidR="003376C1" w:rsidRPr="001E4CEF" w:rsidRDefault="003376C1" w:rsidP="003376C1">
      <w:pPr>
        <w:widowControl/>
        <w:snapToGrid w:val="0"/>
        <w:spacing w:line="240" w:lineRule="atLeast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40"/>
          <w:szCs w:val="20"/>
        </w:rPr>
      </w:pPr>
      <w:r w:rsidRPr="001E4CEF">
        <w:rPr>
          <w:rFonts w:ascii="Times New Roman" w:eastAsia="標楷體" w:hAnsi="Times New Roman" w:cs="Times New Roman" w:hint="eastAsia"/>
          <w:b/>
          <w:kern w:val="0"/>
          <w:sz w:val="40"/>
          <w:szCs w:val="20"/>
        </w:rPr>
        <w:t>桃園市政府</w:t>
      </w:r>
    </w:p>
    <w:p w14:paraId="597E0554" w14:textId="77777777" w:rsidR="004E4732" w:rsidRPr="004E4732" w:rsidRDefault="00E532E1" w:rsidP="003376C1">
      <w:pPr>
        <w:widowControl/>
        <w:snapToGrid w:val="0"/>
        <w:spacing w:line="240" w:lineRule="atLeast"/>
        <w:jc w:val="center"/>
        <w:textAlignment w:val="baseline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4E4732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最有利標評選作業實務案例暨錯誤態樣預防解析</w:t>
      </w:r>
    </w:p>
    <w:p w14:paraId="0B1E0109" w14:textId="186AEFCB" w:rsidR="003376C1" w:rsidRPr="001E4CEF" w:rsidRDefault="001F1E12" w:rsidP="003376C1">
      <w:pPr>
        <w:widowControl/>
        <w:snapToGrid w:val="0"/>
        <w:spacing w:line="240" w:lineRule="atLeast"/>
        <w:jc w:val="center"/>
        <w:textAlignment w:val="baseline"/>
        <w:rPr>
          <w:rFonts w:ascii="Times New Roman" w:eastAsia="標楷體" w:hAnsi="Times New Roman" w:cs="Times New Roman"/>
          <w:sz w:val="36"/>
          <w:szCs w:val="36"/>
        </w:rPr>
      </w:pPr>
      <w:r w:rsidRPr="001F1E12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教育訓練</w:t>
      </w:r>
      <w:r w:rsidR="003376C1" w:rsidRPr="001E4CEF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實施計畫</w:t>
      </w:r>
    </w:p>
    <w:p w14:paraId="191A7F67" w14:textId="77777777" w:rsidR="003376C1" w:rsidRPr="001E4CEF" w:rsidRDefault="003376C1" w:rsidP="003376C1">
      <w:pPr>
        <w:snapToGrid w:val="0"/>
        <w:spacing w:beforeLines="100" w:before="360" w:line="400" w:lineRule="exact"/>
        <w:jc w:val="both"/>
        <w:rPr>
          <w:rFonts w:ascii="Times New Roman" w:eastAsia="標楷體" w:hAnsi="Times New Roman" w:cs="Times New Roman"/>
          <w:b/>
          <w:sz w:val="32"/>
          <w:szCs w:val="20"/>
        </w:rPr>
      </w:pPr>
      <w:r w:rsidRPr="001E4CEF">
        <w:rPr>
          <w:rFonts w:ascii="Times New Roman" w:eastAsia="標楷體" w:hAnsi="Times New Roman" w:cs="Times New Roman" w:hint="eastAsia"/>
          <w:b/>
          <w:sz w:val="32"/>
          <w:szCs w:val="20"/>
        </w:rPr>
        <w:t>壹、</w:t>
      </w:r>
      <w:r w:rsidRPr="001E4CEF">
        <w:rPr>
          <w:rFonts w:ascii="Times New Roman" w:eastAsia="標楷體" w:hAnsi="Times New Roman" w:cs="Times New Roman" w:hint="eastAsia"/>
          <w:b/>
          <w:sz w:val="32"/>
          <w:szCs w:val="32"/>
        </w:rPr>
        <w:t>主辦單位：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桃園市政府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以下簡稱本</w:t>
      </w:r>
      <w:r w:rsidRPr="001E4CEF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府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289650AF" w14:textId="4E93603F" w:rsidR="003376C1" w:rsidRPr="001E4CEF" w:rsidRDefault="003376C1" w:rsidP="00E532E1">
      <w:pPr>
        <w:snapToGrid w:val="0"/>
        <w:spacing w:before="360" w:line="480" w:lineRule="exact"/>
        <w:ind w:left="2883" w:hangingChars="900" w:hanging="288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1E4CEF">
        <w:rPr>
          <w:rFonts w:ascii="Times New Roman" w:eastAsia="標楷體" w:hAnsi="Times New Roman" w:cs="Times New Roman" w:hint="eastAsia"/>
          <w:b/>
          <w:sz w:val="32"/>
          <w:szCs w:val="32"/>
        </w:rPr>
        <w:t>貳、</w:t>
      </w:r>
      <w:r w:rsidRPr="001E4CEF">
        <w:rPr>
          <w:rFonts w:ascii="Times New Roman" w:eastAsia="標楷體" w:hAnsi="Times New Roman" w:cs="Times New Roman" w:hint="eastAsia"/>
          <w:b/>
          <w:sz w:val="32"/>
          <w:szCs w:val="20"/>
        </w:rPr>
        <w:t>計畫緣起及依據</w:t>
      </w:r>
      <w:r w:rsidRPr="001E4CEF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  <w:r w:rsidR="00E532E1" w:rsidRPr="001E4CEF">
        <w:rPr>
          <w:rFonts w:ascii="Times New Roman" w:eastAsia="標楷體" w:hAnsi="Times New Roman" w:cs="Times New Roman" w:hint="eastAsia"/>
          <w:sz w:val="28"/>
          <w:szCs w:val="28"/>
        </w:rPr>
        <w:t>為使本府各機關學校採購人員充實採購專業人員知識，提升政府採購效率及品質，預防採購缺失之發生，並建立採購專業人員管理制度，落實採購專業人員辦法之規定，特訂定本計畫。</w:t>
      </w:r>
    </w:p>
    <w:p w14:paraId="3A639E46" w14:textId="10D521F6" w:rsidR="003376C1" w:rsidRPr="00501B5C" w:rsidRDefault="003376C1" w:rsidP="003376C1">
      <w:pPr>
        <w:snapToGrid w:val="0"/>
        <w:spacing w:before="360" w:line="480" w:lineRule="exact"/>
        <w:ind w:left="2242" w:hangingChars="700" w:hanging="224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4CEF">
        <w:rPr>
          <w:rFonts w:ascii="Times New Roman" w:eastAsia="標楷體" w:hAnsi="Times New Roman" w:cs="Times New Roman" w:hint="eastAsia"/>
          <w:b/>
          <w:sz w:val="32"/>
          <w:szCs w:val="32"/>
        </w:rPr>
        <w:t>參、實施方式：</w:t>
      </w:r>
      <w:r w:rsidR="00AA7344">
        <w:rPr>
          <w:rFonts w:ascii="Times New Roman" w:eastAsia="標楷體" w:hAnsi="Times New Roman" w:cs="Times New Roman" w:hint="eastAsia"/>
          <w:sz w:val="28"/>
          <w:szCs w:val="28"/>
        </w:rPr>
        <w:t>本府工務局辦理</w:t>
      </w:r>
      <w:r w:rsidR="00501B5C" w:rsidRPr="00501B5C">
        <w:rPr>
          <w:rFonts w:ascii="Times New Roman" w:eastAsia="標楷體" w:hAnsi="Times New Roman" w:cs="Times New Roman" w:hint="eastAsia"/>
          <w:sz w:val="28"/>
          <w:szCs w:val="28"/>
        </w:rPr>
        <w:t>本府所屬各機關學校採購人員相關教育訓練研習，邀請</w:t>
      </w:r>
      <w:r w:rsidR="00AA7344">
        <w:rPr>
          <w:rFonts w:ascii="Times New Roman" w:eastAsia="標楷體" w:hAnsi="Times New Roman" w:cs="Times New Roman" w:hint="eastAsia"/>
          <w:sz w:val="28"/>
          <w:szCs w:val="28"/>
        </w:rPr>
        <w:t>行政院公共工程委員會</w:t>
      </w:r>
      <w:r w:rsidR="00E532E1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AA7344">
        <w:rPr>
          <w:rFonts w:ascii="Times New Roman" w:eastAsia="標楷體" w:hAnsi="Times New Roman" w:cs="Times New Roman" w:hint="eastAsia"/>
          <w:sz w:val="28"/>
          <w:szCs w:val="28"/>
        </w:rPr>
        <w:t>長官</w:t>
      </w:r>
      <w:r w:rsidR="00501B5C" w:rsidRPr="00501B5C">
        <w:rPr>
          <w:rFonts w:ascii="Times New Roman" w:eastAsia="標楷體" w:hAnsi="Times New Roman" w:cs="Times New Roman" w:hint="eastAsia"/>
          <w:sz w:val="28"/>
          <w:szCs w:val="28"/>
        </w:rPr>
        <w:t>擔任講師，講授辦理採購相關法令規定及應注意事項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ABBA6CB" w14:textId="77777777" w:rsidR="003376C1" w:rsidRPr="001E4CEF" w:rsidRDefault="003376C1" w:rsidP="003376C1">
      <w:pPr>
        <w:snapToGrid w:val="0"/>
        <w:spacing w:before="360"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4CEF">
        <w:rPr>
          <w:rFonts w:ascii="Times New Roman" w:eastAsia="標楷體" w:hAnsi="Times New Roman" w:cs="Times New Roman" w:hint="eastAsia"/>
          <w:b/>
          <w:sz w:val="32"/>
          <w:szCs w:val="32"/>
        </w:rPr>
        <w:t>肆、計畫目標：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14:paraId="2BFA788A" w14:textId="77777777" w:rsidR="003376C1" w:rsidRPr="001E4CEF" w:rsidRDefault="003376C1" w:rsidP="003376C1">
      <w:pPr>
        <w:snapToGrid w:val="0"/>
        <w:spacing w:beforeLines="50" w:before="180" w:line="480" w:lineRule="exact"/>
        <w:ind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4CEF">
        <w:rPr>
          <w:rFonts w:ascii="Times New Roman" w:eastAsia="標楷體" w:hAnsi="Times New Roman" w:cs="Times New Roman" w:hint="eastAsia"/>
          <w:b/>
          <w:sz w:val="28"/>
          <w:szCs w:val="28"/>
        </w:rPr>
        <w:t>一、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目標說明：</w:t>
      </w:r>
    </w:p>
    <w:p w14:paraId="42EF01DA" w14:textId="07DE2ABE" w:rsidR="003376C1" w:rsidRPr="001E4CEF" w:rsidRDefault="00C6785A" w:rsidP="003376C1">
      <w:pPr>
        <w:snapToGrid w:val="0"/>
        <w:spacing w:line="440" w:lineRule="atLeast"/>
        <w:ind w:leftChars="332" w:left="7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85A">
        <w:rPr>
          <w:rFonts w:ascii="Times New Roman" w:eastAsia="標楷體" w:hAnsi="Times New Roman" w:cs="Times New Roman" w:hint="eastAsia"/>
          <w:sz w:val="28"/>
          <w:szCs w:val="28"/>
        </w:rPr>
        <w:t>為推廣本府暨所屬機關能熟稔採購業務並有效提升採購品質，特辦理教育訓練，請本府暨所屬機關派員參加教育訓練課程，以提升採購效率，增進機關作業效能。</w:t>
      </w:r>
      <w:r w:rsidR="003376C1" w:rsidRPr="001E4CE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14:paraId="6626D91E" w14:textId="77777777" w:rsidR="003376C1" w:rsidRPr="001E4CEF" w:rsidRDefault="003376C1" w:rsidP="003376C1">
      <w:pPr>
        <w:snapToGrid w:val="0"/>
        <w:spacing w:beforeLines="50" w:before="180" w:line="480" w:lineRule="exact"/>
        <w:ind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二、預期成果：</w:t>
      </w:r>
    </w:p>
    <w:p w14:paraId="7B643454" w14:textId="6B7F6DEF" w:rsidR="003376C1" w:rsidRPr="001E4CEF" w:rsidRDefault="003376C1" w:rsidP="0076199E">
      <w:pPr>
        <w:snapToGrid w:val="0"/>
        <w:spacing w:line="440" w:lineRule="atLeast"/>
        <w:ind w:leftChars="332" w:left="7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如期圓滿完成並使各機關參訓人員對</w:t>
      </w:r>
      <w:r w:rsidR="00E532E1">
        <w:rPr>
          <w:rFonts w:ascii="Times New Roman" w:eastAsia="標楷體" w:hAnsi="Times New Roman" w:cs="Times New Roman" w:hint="eastAsia"/>
          <w:sz w:val="28"/>
          <w:szCs w:val="28"/>
        </w:rPr>
        <w:t>最有利標評選作業</w:t>
      </w:r>
      <w:r w:rsidR="00AA7344">
        <w:rPr>
          <w:rFonts w:ascii="Times New Roman" w:eastAsia="標楷體" w:hAnsi="Times New Roman" w:cs="Times New Roman" w:hint="eastAsia"/>
          <w:sz w:val="28"/>
          <w:szCs w:val="28"/>
        </w:rPr>
        <w:t>程序實務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有所理解，精進採購業務之管理與執行。</w:t>
      </w:r>
    </w:p>
    <w:p w14:paraId="4E3871F3" w14:textId="77777777" w:rsidR="003376C1" w:rsidRPr="001E4CEF" w:rsidRDefault="003376C1" w:rsidP="003376C1">
      <w:pPr>
        <w:snapToGrid w:val="0"/>
        <w:spacing w:before="360" w:line="48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1E4CEF">
        <w:rPr>
          <w:rFonts w:ascii="Times New Roman" w:eastAsia="標楷體" w:hAnsi="Times New Roman" w:cs="Times New Roman" w:hint="eastAsia"/>
          <w:b/>
          <w:sz w:val="32"/>
          <w:szCs w:val="32"/>
        </w:rPr>
        <w:t>伍、計畫執行方法：</w:t>
      </w:r>
    </w:p>
    <w:p w14:paraId="667865CB" w14:textId="77777777" w:rsidR="003376C1" w:rsidRPr="001E4CEF" w:rsidRDefault="003376C1" w:rsidP="003376C1">
      <w:pPr>
        <w:snapToGrid w:val="0"/>
        <w:spacing w:before="120" w:line="480" w:lineRule="exact"/>
        <w:ind w:firstLineChars="100" w:firstLine="2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一、執行策略：</w:t>
      </w:r>
      <w:r w:rsidRPr="001E4CEF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33E619E1" w14:textId="62E87724" w:rsidR="003376C1" w:rsidRPr="001E4CEF" w:rsidRDefault="00AA7344" w:rsidP="003376C1">
      <w:pPr>
        <w:snapToGrid w:val="0"/>
        <w:spacing w:line="440" w:lineRule="atLeast"/>
        <w:ind w:leftChars="367" w:left="881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本府工務局辦理</w:t>
      </w:r>
      <w:r w:rsidR="003376C1" w:rsidRPr="001E4CEF">
        <w:rPr>
          <w:rFonts w:ascii="Times New Roman" w:eastAsia="標楷體" w:hAnsi="Times New Roman" w:cs="Times New Roman" w:hint="eastAsia"/>
          <w:sz w:val="28"/>
          <w:szCs w:val="28"/>
        </w:rPr>
        <w:t>辦理採購業務教育訓練，透過講師以法令解說及案例分析方式，有效推動採購業務之管理與執行。</w:t>
      </w:r>
    </w:p>
    <w:p w14:paraId="1D7B8D41" w14:textId="5D8ED928" w:rsidR="003376C1" w:rsidRPr="001E4CEF" w:rsidRDefault="003376C1" w:rsidP="003376C1">
      <w:pPr>
        <w:snapToGrid w:val="0"/>
        <w:spacing w:beforeLines="50" w:before="180" w:line="480" w:lineRule="exact"/>
        <w:ind w:leftChars="100" w:left="2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二、計畫內容：</w:t>
      </w:r>
    </w:p>
    <w:p w14:paraId="27E6B927" w14:textId="023CA771" w:rsidR="003376C1" w:rsidRPr="001E4CEF" w:rsidRDefault="003376C1" w:rsidP="003376C1">
      <w:pPr>
        <w:snapToGrid w:val="0"/>
        <w:spacing w:line="480" w:lineRule="exact"/>
        <w:ind w:leftChars="400" w:left="180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（一）實施對象：桃園市政府各機關暨所屬機關學校、各區公所採購相關人員</w:t>
      </w:r>
      <w:r w:rsidR="00B546D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959CC08" w14:textId="5ADF96FF" w:rsidR="003376C1" w:rsidRPr="001E4CEF" w:rsidRDefault="00C95E90" w:rsidP="003376C1">
      <w:pPr>
        <w:snapToGrid w:val="0"/>
        <w:spacing w:beforeLines="20" w:before="72" w:line="240" w:lineRule="atLeast"/>
        <w:ind w:leftChars="400" w:left="1680" w:hangingChars="300" w:hanging="7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D9F396F" wp14:editId="23D49270">
            <wp:simplePos x="0" y="0"/>
            <wp:positionH relativeFrom="column">
              <wp:posOffset>6841952</wp:posOffset>
            </wp:positionH>
            <wp:positionV relativeFrom="paragraph">
              <wp:posOffset>339206</wp:posOffset>
            </wp:positionV>
            <wp:extent cx="1173722" cy="1167022"/>
            <wp:effectExtent l="0" t="0" r="7620" b="0"/>
            <wp:wrapNone/>
            <wp:docPr id="171941528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415286" name="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722" cy="1167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6C1" w:rsidRPr="001E4CEF">
        <w:rPr>
          <w:rFonts w:ascii="Times New Roman" w:eastAsia="標楷體" w:hAnsi="Times New Roman" w:cs="Times New Roman" w:hint="eastAsia"/>
          <w:sz w:val="28"/>
          <w:szCs w:val="28"/>
        </w:rPr>
        <w:t>（二）實施時間：</w:t>
      </w:r>
      <w:r w:rsidR="00E532E1">
        <w:rPr>
          <w:rFonts w:ascii="標楷體" w:eastAsia="標楷體" w:hAnsi="標楷體" w:cs="Times New Roman" w:hint="eastAsia"/>
          <w:b/>
          <w:sz w:val="28"/>
          <w:szCs w:val="28"/>
        </w:rPr>
        <w:t>114年5月14日（週三）</w:t>
      </w:r>
      <w:r w:rsidR="003376C1" w:rsidRPr="001E4CE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4F537F4" w14:textId="5D34650F" w:rsidR="003376C1" w:rsidRPr="001E4CEF" w:rsidRDefault="003376C1" w:rsidP="003376C1">
      <w:pPr>
        <w:snapToGrid w:val="0"/>
        <w:spacing w:beforeLines="20" w:before="72" w:line="240" w:lineRule="atLeast"/>
        <w:ind w:leftChars="400" w:left="180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（三）實施時程：下午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1:30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4:30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E707ECF" w14:textId="65582095" w:rsidR="003376C1" w:rsidRPr="001E4CEF" w:rsidRDefault="003376C1" w:rsidP="003376C1">
      <w:pPr>
        <w:snapToGrid w:val="0"/>
        <w:spacing w:beforeLines="20" w:before="72" w:line="240" w:lineRule="atLeast"/>
        <w:ind w:leftChars="400" w:left="180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（四）參訓人數：預計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8754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人。</w:t>
      </w:r>
    </w:p>
    <w:p w14:paraId="2CBD85A5" w14:textId="7CA99D0A" w:rsidR="003376C1" w:rsidRPr="001E4CEF" w:rsidRDefault="003376C1" w:rsidP="003376C1">
      <w:pPr>
        <w:snapToGrid w:val="0"/>
        <w:spacing w:beforeLines="20" w:before="72" w:line="240" w:lineRule="atLeast"/>
        <w:ind w:leftChars="400" w:left="180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（五）實施地點：桃園市政府地下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樓大禮堂。</w:t>
      </w:r>
    </w:p>
    <w:p w14:paraId="7DBCD87D" w14:textId="3C981F2D" w:rsidR="003376C1" w:rsidRDefault="003376C1" w:rsidP="003376C1">
      <w:pPr>
        <w:snapToGrid w:val="0"/>
        <w:spacing w:beforeLines="50" w:before="180" w:line="480" w:lineRule="exact"/>
        <w:ind w:leftChars="100" w:left="2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三、參訓方式：</w:t>
      </w:r>
    </w:p>
    <w:p w14:paraId="50CA3389" w14:textId="4D3B784F" w:rsidR="00E348D1" w:rsidRPr="001E4CEF" w:rsidRDefault="00E348D1" w:rsidP="00464A4D">
      <w:pPr>
        <w:snapToGrid w:val="0"/>
        <w:spacing w:beforeLines="30" w:before="108" w:line="240" w:lineRule="atLeast"/>
        <w:ind w:leftChars="375" w:left="17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>
        <w:rPr>
          <w:rFonts w:ascii="Times New Roman" w:eastAsia="標楷體" w:hAnsi="Times New Roman" w:cs="Times New Roman" w:hint="eastAsia"/>
          <w:sz w:val="28"/>
          <w:szCs w:val="28"/>
        </w:rPr>
        <w:t>報名期限：</w:t>
      </w:r>
      <w:r w:rsidRPr="00E348D1">
        <w:rPr>
          <w:rFonts w:ascii="Times New Roman" w:eastAsia="標楷體" w:hAnsi="Times New Roman" w:cs="Times New Roman" w:hint="eastAsia"/>
          <w:sz w:val="28"/>
          <w:szCs w:val="28"/>
        </w:rPr>
        <w:t>即日起至</w:t>
      </w:r>
      <w:r w:rsidR="00F626AF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976004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F626AF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532E1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F626AF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532E1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F626A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E348D1">
        <w:rPr>
          <w:rFonts w:ascii="Times New Roman" w:eastAsia="標楷體" w:hAnsi="Times New Roman" w:cs="Times New Roman" w:hint="eastAsia"/>
          <w:sz w:val="28"/>
          <w:szCs w:val="28"/>
        </w:rPr>
        <w:t>或額滿為止。</w:t>
      </w:r>
    </w:p>
    <w:p w14:paraId="5EC80D3B" w14:textId="40134F03" w:rsidR="00976004" w:rsidRPr="00B10A36" w:rsidRDefault="00E348D1" w:rsidP="00976004">
      <w:pPr>
        <w:snapToGrid w:val="0"/>
        <w:spacing w:beforeLines="30" w:before="108" w:line="240" w:lineRule="atLeast"/>
        <w:ind w:leftChars="375" w:left="17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bookmarkStart w:id="0" w:name="_Hlk196133780"/>
      <w:r w:rsidR="003376C1" w:rsidRPr="001E4CEF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>
        <w:rPr>
          <w:rFonts w:ascii="Times New Roman" w:eastAsia="標楷體" w:hAnsi="Times New Roman" w:cs="Times New Roman" w:hint="eastAsia"/>
          <w:sz w:val="28"/>
          <w:szCs w:val="28"/>
        </w:rPr>
        <w:t>方式</w:t>
      </w:r>
      <w:r w:rsidR="003376C1" w:rsidRPr="001E4CEF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tbl>
      <w:tblPr>
        <w:tblStyle w:val="ab"/>
        <w:tblW w:w="0" w:type="auto"/>
        <w:tblInd w:w="1755" w:type="dxa"/>
        <w:tblLook w:val="04A0" w:firstRow="1" w:lastRow="0" w:firstColumn="1" w:lastColumn="0" w:noHBand="0" w:noVBand="1"/>
      </w:tblPr>
      <w:tblGrid>
        <w:gridCol w:w="3872"/>
        <w:gridCol w:w="3724"/>
      </w:tblGrid>
      <w:tr w:rsidR="00976004" w14:paraId="3EE547B1" w14:textId="77777777" w:rsidTr="00AC02DE">
        <w:tc>
          <w:tcPr>
            <w:tcW w:w="3872" w:type="dxa"/>
            <w:shd w:val="clear" w:color="auto" w:fill="FFFFCC"/>
          </w:tcPr>
          <w:p w14:paraId="3BB0804D" w14:textId="77777777" w:rsidR="00976004" w:rsidRDefault="00976004" w:rsidP="00AC02DE">
            <w:pPr>
              <w:pStyle w:val="aa"/>
              <w:snapToGrid w:val="0"/>
              <w:spacing w:beforeLines="30" w:before="108"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 w:rsidRPr="00B10A36">
              <w:rPr>
                <w:rFonts w:eastAsia="標楷體" w:hint="eastAsia"/>
                <w:color w:val="000000" w:themeColor="text1"/>
                <w:sz w:val="28"/>
                <w:szCs w:val="28"/>
              </w:rPr>
              <w:t>公務人員終身學習時數者：</w:t>
            </w:r>
          </w:p>
        </w:tc>
        <w:tc>
          <w:tcPr>
            <w:tcW w:w="3724" w:type="dxa"/>
            <w:shd w:val="clear" w:color="auto" w:fill="FFF2CC" w:themeFill="accent4" w:themeFillTint="33"/>
          </w:tcPr>
          <w:p w14:paraId="7D36EB14" w14:textId="77777777" w:rsidR="00976004" w:rsidRDefault="00976004" w:rsidP="00AC02DE">
            <w:pPr>
              <w:pStyle w:val="aa"/>
              <w:snapToGrid w:val="0"/>
              <w:spacing w:beforeLines="30" w:before="108" w:line="24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2.</w:t>
            </w:r>
            <w:r w:rsidRPr="00266991">
              <w:rPr>
                <w:rFonts w:eastAsia="標楷體" w:hint="eastAsia"/>
                <w:color w:val="000000" w:themeColor="text1"/>
                <w:sz w:val="28"/>
                <w:szCs w:val="28"/>
              </w:rPr>
              <w:t>學校學習時數報名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976004" w14:paraId="43050058" w14:textId="77777777" w:rsidTr="00AC02DE">
        <w:tc>
          <w:tcPr>
            <w:tcW w:w="3872" w:type="dxa"/>
            <w:shd w:val="clear" w:color="auto" w:fill="FFFFCC"/>
          </w:tcPr>
          <w:p w14:paraId="7CFC1AA7" w14:textId="7B59028F" w:rsidR="00976004" w:rsidRDefault="00976004" w:rsidP="00AC02DE">
            <w:pPr>
              <w:pStyle w:val="aa"/>
              <w:snapToGrid w:val="0"/>
              <w:spacing w:beforeLines="30" w:before="108" w:line="24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A36">
              <w:rPr>
                <w:rFonts w:eastAsia="標楷體" w:hint="eastAsia"/>
                <w:color w:val="000000" w:themeColor="text1"/>
                <w:sz w:val="28"/>
                <w:szCs w:val="28"/>
              </w:rPr>
              <w:t>逕於</w:t>
            </w:r>
            <w:r w:rsidRPr="00B10A3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google</w:t>
            </w:r>
            <w:r w:rsidRPr="00B10A3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表單報</w:t>
            </w:r>
            <w:r w:rsidRPr="00B10A3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名</w:t>
            </w:r>
            <w:r w:rsidRPr="0067705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(</w:t>
            </w:r>
            <w:r w:rsidRPr="0067705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網址：</w:t>
            </w:r>
            <w:r w:rsidR="00437E4B" w:rsidRPr="00437E4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https://pse.is/7g3vv4</w:t>
            </w:r>
            <w:r w:rsidRPr="00B10A36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)</w:t>
            </w:r>
            <w:r w:rsidRPr="00B10A3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B10A36">
              <w:rPr>
                <w:rFonts w:eastAsia="標楷體" w:hint="eastAsia"/>
                <w:color w:val="000000" w:themeColor="text1"/>
                <w:sz w:val="28"/>
                <w:szCs w:val="28"/>
              </w:rPr>
              <w:t>辦理線上報名作業。</w:t>
            </w:r>
          </w:p>
        </w:tc>
        <w:tc>
          <w:tcPr>
            <w:tcW w:w="3724" w:type="dxa"/>
            <w:shd w:val="clear" w:color="auto" w:fill="FFF2CC" w:themeFill="accent4" w:themeFillTint="33"/>
          </w:tcPr>
          <w:p w14:paraId="6E977233" w14:textId="4D906892" w:rsidR="00976004" w:rsidRDefault="00976004" w:rsidP="00AC02DE">
            <w:pPr>
              <w:pStyle w:val="aa"/>
              <w:snapToGrid w:val="0"/>
              <w:spacing w:beforeLines="30" w:before="108" w:line="24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10A36">
              <w:rPr>
                <w:rFonts w:eastAsia="標楷體" w:hint="eastAsia"/>
                <w:color w:val="000000" w:themeColor="text1"/>
                <w:sz w:val="28"/>
                <w:szCs w:val="28"/>
              </w:rPr>
              <w:t>逕於</w:t>
            </w:r>
            <w:r w:rsidRPr="00B10A3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google</w:t>
            </w:r>
            <w:r w:rsidRPr="00B10A3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表單報</w:t>
            </w:r>
            <w:r w:rsidRPr="00B10A3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名</w:t>
            </w:r>
            <w:r w:rsidRPr="0067705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(</w:t>
            </w:r>
            <w:r w:rsidRPr="0067705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網址：</w:t>
            </w:r>
            <w:r w:rsidR="00437E4B" w:rsidRPr="00437E4B">
              <w:rPr>
                <w:rFonts w:eastAsia="標楷體"/>
                <w:color w:val="FF0000"/>
                <w:sz w:val="28"/>
                <w:szCs w:val="28"/>
              </w:rPr>
              <w:t>https://pse.is/7g3vyt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  <w:r w:rsidRPr="00B10A36">
              <w:rPr>
                <w:rFonts w:eastAsia="標楷體" w:hint="eastAsia"/>
                <w:color w:val="000000" w:themeColor="text1"/>
                <w:sz w:val="28"/>
                <w:szCs w:val="28"/>
              </w:rPr>
              <w:t>辦理線上報名作業。</w:t>
            </w:r>
          </w:p>
        </w:tc>
      </w:tr>
      <w:tr w:rsidR="00976004" w14:paraId="75F3E036" w14:textId="77777777" w:rsidTr="00AC02DE">
        <w:tc>
          <w:tcPr>
            <w:tcW w:w="3872" w:type="dxa"/>
            <w:shd w:val="clear" w:color="auto" w:fill="FFFFCC"/>
          </w:tcPr>
          <w:p w14:paraId="31EB0683" w14:textId="77777777" w:rsidR="00976004" w:rsidRDefault="00976004" w:rsidP="00AC02DE">
            <w:pPr>
              <w:pStyle w:val="aa"/>
              <w:snapToGrid w:val="0"/>
              <w:spacing w:beforeLines="30" w:before="108"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7ED5BB9" wp14:editId="35292941">
                  <wp:extent cx="1002028" cy="1002028"/>
                  <wp:effectExtent l="0" t="0" r="8255" b="8255"/>
                  <wp:docPr id="49130715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307154" name="圖片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28" cy="1002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4" w:type="dxa"/>
            <w:shd w:val="clear" w:color="auto" w:fill="FFF2CC" w:themeFill="accent4" w:themeFillTint="33"/>
          </w:tcPr>
          <w:p w14:paraId="2065A190" w14:textId="77777777" w:rsidR="00976004" w:rsidRDefault="00976004" w:rsidP="00AC02DE">
            <w:pPr>
              <w:pStyle w:val="aa"/>
              <w:snapToGrid w:val="0"/>
              <w:spacing w:beforeLines="30" w:before="108"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drawing>
                <wp:inline distT="0" distB="0" distL="0" distR="0" wp14:anchorId="77468DC1" wp14:editId="054D5491">
                  <wp:extent cx="979767" cy="979767"/>
                  <wp:effectExtent l="0" t="0" r="0" b="0"/>
                  <wp:docPr id="108450844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508442" name="圖片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767" cy="979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6A4A25A6" w14:textId="798A1B42" w:rsidR="003376C1" w:rsidRPr="001E4CEF" w:rsidRDefault="00E348D1" w:rsidP="003376C1">
      <w:pPr>
        <w:snapToGrid w:val="0"/>
        <w:spacing w:beforeLines="30" w:before="108" w:line="240" w:lineRule="atLeast"/>
        <w:ind w:leftChars="375" w:left="17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（三</w:t>
      </w:r>
      <w:r w:rsidR="003376C1" w:rsidRPr="001E4CEF">
        <w:rPr>
          <w:rFonts w:ascii="Times New Roman" w:eastAsia="標楷體" w:hAnsi="Times New Roman" w:cs="Times New Roman" w:hint="eastAsia"/>
          <w:sz w:val="28"/>
          <w:szCs w:val="28"/>
        </w:rPr>
        <w:t>）本次訓練係免費參加，</w:t>
      </w:r>
      <w:r w:rsidR="00702FB3" w:rsidRPr="00702FB3">
        <w:rPr>
          <w:rFonts w:ascii="Times New Roman" w:eastAsia="標楷體" w:hAnsi="Times New Roman" w:cs="Times New Roman" w:hint="eastAsia"/>
          <w:sz w:val="28"/>
          <w:szCs w:val="28"/>
        </w:rPr>
        <w:t>公</w:t>
      </w:r>
      <w:r w:rsidR="00702FB3" w:rsidRPr="00702FB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02FB3" w:rsidRPr="00702FB3">
        <w:rPr>
          <w:rFonts w:ascii="Times New Roman" w:eastAsia="標楷體" w:hAnsi="Times New Roman" w:cs="Times New Roman" w:hint="eastAsia"/>
          <w:sz w:val="28"/>
          <w:szCs w:val="28"/>
        </w:rPr>
        <w:t>差</w:t>
      </w:r>
      <w:r w:rsidR="00702FB3" w:rsidRPr="00702FB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02FB3" w:rsidRPr="00702FB3">
        <w:rPr>
          <w:rFonts w:ascii="Times New Roman" w:eastAsia="標楷體" w:hAnsi="Times New Roman" w:cs="Times New Roman" w:hint="eastAsia"/>
          <w:sz w:val="28"/>
          <w:szCs w:val="28"/>
        </w:rPr>
        <w:t>假；登記學員請確實依規定時程參加訓練。</w:t>
      </w:r>
    </w:p>
    <w:p w14:paraId="399348F7" w14:textId="77777777" w:rsidR="003376C1" w:rsidRPr="001E4CEF" w:rsidRDefault="00E348D1" w:rsidP="003376C1">
      <w:pPr>
        <w:snapToGrid w:val="0"/>
        <w:spacing w:beforeLines="30" w:before="108" w:line="240" w:lineRule="atLeast"/>
        <w:ind w:leftChars="375" w:left="17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（四</w:t>
      </w:r>
      <w:r w:rsidR="003376C1" w:rsidRPr="001E4CEF">
        <w:rPr>
          <w:rFonts w:ascii="Times New Roman" w:eastAsia="標楷體" w:hAnsi="Times New Roman" w:cs="Times New Roman" w:hint="eastAsia"/>
          <w:sz w:val="28"/>
          <w:szCs w:val="28"/>
        </w:rPr>
        <w:t>）本活動研習時數</w:t>
      </w:r>
      <w:r w:rsidR="003376C1" w:rsidRPr="001E4CEF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3376C1" w:rsidRPr="001E4CEF">
        <w:rPr>
          <w:rFonts w:ascii="Times New Roman" w:eastAsia="標楷體" w:hAnsi="Times New Roman" w:cs="Times New Roman" w:hint="eastAsia"/>
          <w:sz w:val="28"/>
          <w:szCs w:val="28"/>
        </w:rPr>
        <w:t>小時，</w:t>
      </w:r>
      <w:r w:rsidR="003376C1" w:rsidRPr="001E4CEF">
        <w:rPr>
          <w:rFonts w:ascii="Times New Roman" w:eastAsia="標楷體" w:hAnsi="Times New Roman" w:cs="Times New Roman"/>
          <w:sz w:val="28"/>
          <w:szCs w:val="28"/>
        </w:rPr>
        <w:t>完成課程後，</w:t>
      </w:r>
      <w:r w:rsidR="003376C1" w:rsidRPr="001E4CEF">
        <w:rPr>
          <w:rFonts w:ascii="Times New Roman" w:eastAsia="標楷體" w:hAnsi="Times New Roman" w:cs="Times New Roman" w:hint="eastAsia"/>
          <w:sz w:val="28"/>
          <w:szCs w:val="28"/>
        </w:rPr>
        <w:t>將予以登錄</w:t>
      </w:r>
      <w:r w:rsidR="003376C1" w:rsidRPr="001E4CEF">
        <w:rPr>
          <w:rFonts w:ascii="Times New Roman" w:eastAsia="標楷體" w:hAnsi="Times New Roman" w:cs="Times New Roman"/>
          <w:sz w:val="28"/>
          <w:szCs w:val="28"/>
        </w:rPr>
        <w:t>認證時數</w:t>
      </w:r>
      <w:r w:rsidR="003376C1" w:rsidRPr="001E4CEF">
        <w:rPr>
          <w:rFonts w:ascii="Times New Roman" w:eastAsia="標楷體" w:hAnsi="Times New Roman" w:cs="Times New Roman" w:hint="eastAsia"/>
          <w:sz w:val="28"/>
          <w:szCs w:val="28"/>
        </w:rPr>
        <w:t>，惠請本府</w:t>
      </w:r>
      <w:r w:rsidR="003376C1" w:rsidRPr="001E4CEF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工務局</w:t>
      </w:r>
      <w:r w:rsidR="003376C1" w:rsidRPr="001E4CEF">
        <w:rPr>
          <w:rFonts w:ascii="Times New Roman" w:eastAsia="標楷體" w:hAnsi="Times New Roman" w:cs="Times New Roman" w:hint="eastAsia"/>
          <w:sz w:val="28"/>
          <w:szCs w:val="28"/>
        </w:rPr>
        <w:t>人事室</w:t>
      </w:r>
      <w:r w:rsidR="00D73F5C" w:rsidRPr="001E4CEF">
        <w:rPr>
          <w:rFonts w:ascii="Times New Roman" w:eastAsia="標楷體" w:hAnsi="Times New Roman" w:cs="Times New Roman" w:hint="eastAsia"/>
          <w:sz w:val="28"/>
          <w:szCs w:val="28"/>
        </w:rPr>
        <w:t>及教育局</w:t>
      </w:r>
      <w:r w:rsidR="003376C1" w:rsidRPr="001E4CEF">
        <w:rPr>
          <w:rFonts w:ascii="Times New Roman" w:eastAsia="標楷體" w:hAnsi="Times New Roman" w:cs="Times New Roman" w:hint="eastAsia"/>
          <w:sz w:val="28"/>
          <w:szCs w:val="28"/>
        </w:rPr>
        <w:t>協助辦理研習時數登錄作業。</w:t>
      </w:r>
    </w:p>
    <w:p w14:paraId="626308A4" w14:textId="77777777" w:rsidR="003376C1" w:rsidRPr="001E4CEF" w:rsidRDefault="00E348D1" w:rsidP="003376C1">
      <w:pPr>
        <w:snapToGrid w:val="0"/>
        <w:spacing w:beforeLines="30" w:before="108" w:line="240" w:lineRule="atLeast"/>
        <w:ind w:leftChars="375" w:left="17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（五</w:t>
      </w:r>
      <w:r w:rsidR="003376C1" w:rsidRPr="001E4CEF">
        <w:rPr>
          <w:rFonts w:ascii="Times New Roman" w:eastAsia="標楷體" w:hAnsi="Times New Roman" w:cs="Times New Roman" w:hint="eastAsia"/>
          <w:sz w:val="28"/>
          <w:szCs w:val="28"/>
        </w:rPr>
        <w:t>）為實踐節能減碳政策，響應紙杯、一次性免洗餐具減量行動，請自備環保杯。</w:t>
      </w:r>
    </w:p>
    <w:p w14:paraId="29736AF9" w14:textId="13FCF42C" w:rsidR="003376C1" w:rsidRPr="001E4CEF" w:rsidRDefault="003376C1" w:rsidP="008D7DB5">
      <w:pPr>
        <w:snapToGrid w:val="0"/>
        <w:spacing w:before="240" w:line="48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1E4CEF">
        <w:rPr>
          <w:rFonts w:ascii="Times New Roman" w:eastAsia="標楷體" w:hAnsi="Times New Roman" w:cs="Times New Roman" w:hint="eastAsia"/>
          <w:b/>
          <w:sz w:val="32"/>
          <w:szCs w:val="32"/>
        </w:rPr>
        <w:t>陸、附則：</w:t>
      </w:r>
    </w:p>
    <w:p w14:paraId="4BDB9D76" w14:textId="428C40EC" w:rsidR="003376C1" w:rsidRPr="001E4CEF" w:rsidRDefault="003376C1" w:rsidP="003376C1">
      <w:pPr>
        <w:snapToGrid w:val="0"/>
        <w:spacing w:beforeLines="30" w:before="108" w:line="240" w:lineRule="atLeast"/>
        <w:ind w:leftChars="375" w:left="17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（一）檢陳本案教育訓練</w:t>
      </w:r>
      <w:r w:rsidR="00A56B44">
        <w:rPr>
          <w:rFonts w:ascii="Times New Roman" w:eastAsia="標楷體" w:hAnsi="Times New Roman" w:cs="Times New Roman" w:hint="eastAsia"/>
          <w:sz w:val="28"/>
          <w:szCs w:val="28"/>
        </w:rPr>
        <w:t>課程表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3348AE3" w14:textId="77777777" w:rsidR="003376C1" w:rsidRPr="001E4CEF" w:rsidRDefault="003376C1" w:rsidP="003376C1">
      <w:pPr>
        <w:snapToGrid w:val="0"/>
        <w:spacing w:beforeLines="30" w:before="108" w:line="240" w:lineRule="atLeast"/>
        <w:ind w:leftChars="375" w:left="17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（二）本計畫奉核後實施，如有修正事項，由主辦單位依權責逕行修訂辦理，以收權變之效益。</w:t>
      </w:r>
    </w:p>
    <w:p w14:paraId="51C10A32" w14:textId="07CC735C" w:rsidR="003376C1" w:rsidRPr="001E4CEF" w:rsidRDefault="008D7DB5" w:rsidP="003376C1">
      <w:pPr>
        <w:snapToGrid w:val="0"/>
        <w:spacing w:before="240" w:line="240" w:lineRule="atLeas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柒</w:t>
      </w:r>
      <w:r w:rsidR="003376C1" w:rsidRPr="001E4CEF">
        <w:rPr>
          <w:rFonts w:ascii="Times New Roman" w:eastAsia="標楷體" w:hAnsi="Times New Roman" w:cs="Times New Roman" w:hint="eastAsia"/>
          <w:b/>
          <w:sz w:val="32"/>
          <w:szCs w:val="32"/>
        </w:rPr>
        <w:t>、其他注意事項：</w:t>
      </w:r>
    </w:p>
    <w:p w14:paraId="75B0F0EF" w14:textId="77777777" w:rsidR="003376C1" w:rsidRPr="001E4CEF" w:rsidRDefault="003376C1" w:rsidP="003376C1">
      <w:pPr>
        <w:snapToGrid w:val="0"/>
        <w:spacing w:beforeLines="30" w:before="108" w:line="240" w:lineRule="atLeast"/>
        <w:ind w:leftChars="375" w:left="17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（一）當日體溫超過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37.5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度者請勿出席，得事後向承辦單位請假。</w:t>
      </w:r>
    </w:p>
    <w:p w14:paraId="2017F9B0" w14:textId="77777777" w:rsidR="003376C1" w:rsidRPr="001E4CEF" w:rsidRDefault="003376C1" w:rsidP="003376C1">
      <w:pPr>
        <w:snapToGrid w:val="0"/>
        <w:spacing w:beforeLines="30" w:before="108" w:line="240" w:lineRule="atLeast"/>
        <w:ind w:leftChars="375" w:left="17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（二）研習地點為桃園市政府地下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樓大禮堂，參訓同仁需簽到，並請確依「各機關職務代理應行注意事項」辦妥代理工作，避免影響為民服務工作。</w:t>
      </w:r>
    </w:p>
    <w:p w14:paraId="52D287F6" w14:textId="77777777" w:rsidR="003376C1" w:rsidRPr="001E4CEF" w:rsidRDefault="00175D7B" w:rsidP="003376C1">
      <w:pPr>
        <w:snapToGrid w:val="0"/>
        <w:spacing w:beforeLines="30" w:before="108" w:line="240" w:lineRule="atLeast"/>
        <w:ind w:leftChars="375" w:left="1620" w:hangingChars="300" w:hanging="720"/>
        <w:jc w:val="both"/>
        <w:rPr>
          <w:rFonts w:ascii="標楷體" w:eastAsia="標楷體" w:hAnsi="標楷體" w:cs="Times New Roman"/>
          <w:sz w:val="28"/>
          <w:szCs w:val="28"/>
        </w:rPr>
      </w:pPr>
      <w:r w:rsidRPr="001E4CEF">
        <w:rPr>
          <w:rFonts w:ascii="Times New Roman" w:eastAsia="新細明體" w:hAnsi="Times New Roman" w:cs="Times New Roman"/>
          <w:noProof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4E1251C7" wp14:editId="2FD813BD">
            <wp:simplePos x="0" y="0"/>
            <wp:positionH relativeFrom="column">
              <wp:posOffset>332105</wp:posOffset>
            </wp:positionH>
            <wp:positionV relativeFrom="paragraph">
              <wp:posOffset>602615</wp:posOffset>
            </wp:positionV>
            <wp:extent cx="5660390" cy="2827020"/>
            <wp:effectExtent l="19050" t="19050" r="16510" b="11430"/>
            <wp:wrapTight wrapText="bothSides">
              <wp:wrapPolygon edited="0">
                <wp:start x="-73" y="-146"/>
                <wp:lineTo x="-73" y="21542"/>
                <wp:lineTo x="21590" y="21542"/>
                <wp:lineTo x="21590" y="-146"/>
                <wp:lineTo x="-73" y="-146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0390" cy="2827020"/>
                    </a:xfrm>
                    <a:prstGeom prst="rect">
                      <a:avLst/>
                    </a:prstGeom>
                    <a:ln w="22225" cmpd="dbl">
                      <a:solidFill>
                        <a:srgbClr val="FF0000">
                          <a:alpha val="86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6C1" w:rsidRPr="001E4CEF">
        <w:rPr>
          <w:rFonts w:ascii="Times New Roman" w:eastAsia="標楷體" w:hAnsi="Times New Roman" w:cs="Times New Roman" w:hint="eastAsia"/>
          <w:sz w:val="28"/>
          <w:szCs w:val="28"/>
        </w:rPr>
        <w:t>（三）後附本府大樓</w:t>
      </w:r>
      <w:r w:rsidR="003376C1" w:rsidRPr="001E4CE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376C1" w:rsidRPr="001E4CEF">
        <w:rPr>
          <w:rFonts w:ascii="Times New Roman" w:eastAsia="標楷體" w:hAnsi="Times New Roman" w:cs="Times New Roman" w:hint="eastAsia"/>
          <w:sz w:val="28"/>
          <w:szCs w:val="28"/>
        </w:rPr>
        <w:t>桃園市桃園區縣府路</w:t>
      </w:r>
      <w:r w:rsidR="003376C1" w:rsidRPr="001E4CEF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376C1" w:rsidRPr="001E4CEF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3376C1" w:rsidRPr="001E4CE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376C1" w:rsidRPr="001E4CEF">
        <w:rPr>
          <w:rFonts w:ascii="Times New Roman" w:eastAsia="標楷體" w:hAnsi="Times New Roman" w:cs="Times New Roman" w:hint="eastAsia"/>
          <w:sz w:val="28"/>
          <w:szCs w:val="28"/>
        </w:rPr>
        <w:t>地理位置及交通系統位置</w:t>
      </w:r>
      <w:r w:rsidR="003376C1" w:rsidRPr="001E4CEF">
        <w:rPr>
          <w:rFonts w:ascii="標楷體" w:eastAsia="標楷體" w:hAnsi="標楷體" w:cs="Times New Roman" w:hint="eastAsia"/>
          <w:sz w:val="28"/>
          <w:szCs w:val="28"/>
        </w:rPr>
        <w:t>圖。</w:t>
      </w:r>
      <w:bookmarkStart w:id="1" w:name="縣府大樓地理位置、週邊停車場(位)及交通系統位置圖"/>
      <w:bookmarkEnd w:id="1"/>
    </w:p>
    <w:p w14:paraId="4270D487" w14:textId="77777777" w:rsidR="003376C1" w:rsidRPr="001E4CEF" w:rsidRDefault="003376C1" w:rsidP="003376C1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1E4CEF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7D9626E4" w14:textId="77777777" w:rsidR="003376C1" w:rsidRPr="001E4CEF" w:rsidRDefault="003376C1" w:rsidP="003376C1">
      <w:pPr>
        <w:widowControl/>
        <w:tabs>
          <w:tab w:val="num" w:pos="1120"/>
        </w:tabs>
        <w:snapToGrid w:val="0"/>
        <w:spacing w:beforeLines="50" w:before="180"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45EEF98" w14:textId="77777777" w:rsidR="003376C1" w:rsidRPr="001E4CEF" w:rsidRDefault="003376C1" w:rsidP="003376C1">
      <w:pPr>
        <w:widowControl/>
        <w:snapToGrid w:val="0"/>
        <w:spacing w:line="240" w:lineRule="atLeast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40"/>
          <w:szCs w:val="20"/>
        </w:rPr>
      </w:pPr>
      <w:r w:rsidRPr="001E4CEF">
        <w:rPr>
          <w:rFonts w:ascii="Times New Roman" w:eastAsia="標楷體" w:hAnsi="Times New Roman" w:cs="Times New Roman" w:hint="eastAsia"/>
          <w:b/>
          <w:kern w:val="0"/>
          <w:sz w:val="40"/>
          <w:szCs w:val="20"/>
        </w:rPr>
        <w:t>桃園市政府</w:t>
      </w:r>
    </w:p>
    <w:p w14:paraId="491A49F3" w14:textId="3E19B0D2" w:rsidR="003376C1" w:rsidRPr="00612159" w:rsidRDefault="00E532E1" w:rsidP="003376C1">
      <w:pPr>
        <w:widowControl/>
        <w:snapToGrid w:val="0"/>
        <w:spacing w:beforeLines="50" w:before="180" w:line="240" w:lineRule="atLeast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612159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最有利標評選作業實務案例暨錯誤態樣預防解析</w:t>
      </w:r>
    </w:p>
    <w:p w14:paraId="1093BDCE" w14:textId="03ADCA37" w:rsidR="003376C1" w:rsidRPr="001E4CEF" w:rsidRDefault="001F1E12" w:rsidP="003376C1">
      <w:pPr>
        <w:widowControl/>
        <w:snapToGrid w:val="0"/>
        <w:spacing w:beforeLines="50" w:before="180" w:line="240" w:lineRule="atLeast"/>
        <w:jc w:val="center"/>
        <w:textAlignment w:val="baseline"/>
        <w:rPr>
          <w:rFonts w:ascii="Times New Roman" w:eastAsia="標楷體" w:hAnsi="Times New Roman" w:cs="標楷體"/>
          <w:b/>
          <w:kern w:val="0"/>
          <w:sz w:val="36"/>
          <w:szCs w:val="36"/>
        </w:rPr>
      </w:pPr>
      <w:r w:rsidRPr="001F1E12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教育訓練</w:t>
      </w:r>
      <w:r w:rsidR="003376C1" w:rsidRPr="001E4CEF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課程</w:t>
      </w:r>
      <w:r w:rsidR="003376C1" w:rsidRPr="001E4CEF">
        <w:rPr>
          <w:rFonts w:ascii="Times New Roman" w:eastAsia="標楷體" w:hAnsi="Times New Roman" w:cs="標楷體" w:hint="eastAsia"/>
          <w:b/>
          <w:kern w:val="0"/>
          <w:sz w:val="36"/>
          <w:szCs w:val="36"/>
        </w:rPr>
        <w:t>表</w:t>
      </w:r>
    </w:p>
    <w:p w14:paraId="0EE5491A" w14:textId="77777777" w:rsidR="003376C1" w:rsidRPr="001E4CEF" w:rsidRDefault="003376C1" w:rsidP="003376C1">
      <w:pPr>
        <w:widowControl/>
        <w:jc w:val="center"/>
        <w:rPr>
          <w:rFonts w:ascii="Times New Roman" w:eastAsia="標楷體" w:hAnsi="Times New Roman" w:cs="標楷體"/>
          <w:b/>
          <w:sz w:val="40"/>
          <w:szCs w:val="40"/>
        </w:rPr>
      </w:pPr>
    </w:p>
    <w:p w14:paraId="0D3225F1" w14:textId="691CB00C" w:rsidR="003376C1" w:rsidRPr="001E4CEF" w:rsidRDefault="003376C1" w:rsidP="003376C1">
      <w:pPr>
        <w:snapToGrid w:val="0"/>
        <w:spacing w:line="540" w:lineRule="atLeast"/>
        <w:ind w:leftChars="400" w:left="180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（一）實施時間：</w:t>
      </w:r>
      <w:r w:rsidR="00E532E1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E532E1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532E1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E532E1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532E1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="00E532E1">
        <w:rPr>
          <w:rFonts w:ascii="Times New Roman" w:eastAsia="標楷體" w:hAnsi="Times New Roman" w:cs="Times New Roman" w:hint="eastAsia"/>
          <w:sz w:val="28"/>
          <w:szCs w:val="28"/>
        </w:rPr>
        <w:t>日（週三）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7E64A91" w14:textId="77777777" w:rsidR="003376C1" w:rsidRPr="001E4CEF" w:rsidRDefault="003376C1" w:rsidP="003376C1">
      <w:pPr>
        <w:snapToGrid w:val="0"/>
        <w:spacing w:beforeLines="20" w:before="72" w:line="540" w:lineRule="atLeast"/>
        <w:ind w:leftChars="400" w:left="180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（二）實施時程：下午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1:30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4:30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8C78979" w14:textId="77777777" w:rsidR="003376C1" w:rsidRPr="001E4CEF" w:rsidRDefault="003376C1" w:rsidP="003376C1">
      <w:pPr>
        <w:snapToGrid w:val="0"/>
        <w:spacing w:beforeLines="20" w:before="72" w:line="540" w:lineRule="atLeast"/>
        <w:ind w:leftChars="400" w:left="180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（三）實施地點：桃園市政府地下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1E4CEF">
        <w:rPr>
          <w:rFonts w:ascii="Times New Roman" w:eastAsia="標楷體" w:hAnsi="Times New Roman" w:cs="Times New Roman" w:hint="eastAsia"/>
          <w:sz w:val="28"/>
          <w:szCs w:val="28"/>
        </w:rPr>
        <w:t>樓大禮堂。</w:t>
      </w:r>
    </w:p>
    <w:p w14:paraId="59F1B6E7" w14:textId="77777777" w:rsidR="003376C1" w:rsidRPr="001E4CEF" w:rsidRDefault="003376C1" w:rsidP="003376C1">
      <w:pPr>
        <w:widowControl/>
        <w:tabs>
          <w:tab w:val="num" w:pos="1120"/>
        </w:tabs>
        <w:snapToGrid w:val="0"/>
        <w:spacing w:beforeLines="50" w:before="180" w:beforeAutospacing="1" w:after="100" w:afterAutospacing="1"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92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693"/>
        <w:gridCol w:w="2127"/>
      </w:tblGrid>
      <w:tr w:rsidR="001E4CEF" w:rsidRPr="001E4CEF" w14:paraId="07D5BC8B" w14:textId="77777777" w:rsidTr="00F13384">
        <w:trPr>
          <w:trHeight w:val="519"/>
        </w:trPr>
        <w:tc>
          <w:tcPr>
            <w:tcW w:w="4394" w:type="dxa"/>
            <w:shd w:val="clear" w:color="auto" w:fill="FFF2CC" w:themeFill="accent4" w:themeFillTint="33"/>
          </w:tcPr>
          <w:p w14:paraId="2902B4DB" w14:textId="77777777" w:rsidR="003376C1" w:rsidRPr="001E4CEF" w:rsidRDefault="003376C1" w:rsidP="003376C1">
            <w:pPr>
              <w:spacing w:beforeLines="50" w:before="18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E4CE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課  程  內  容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67E0EF7A" w14:textId="77777777" w:rsidR="003376C1" w:rsidRPr="001E4CEF" w:rsidRDefault="003376C1" w:rsidP="003376C1">
            <w:pPr>
              <w:spacing w:beforeLines="50" w:before="18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E4CEF">
              <w:rPr>
                <w:rFonts w:ascii="標楷體" w:eastAsia="標楷體" w:hAnsi="標楷體" w:cs="Times New Roman"/>
                <w:b/>
                <w:sz w:val="28"/>
                <w:szCs w:val="28"/>
              </w:rPr>
              <w:t>講師介紹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3B5004D2" w14:textId="77777777" w:rsidR="003376C1" w:rsidRPr="001E4CEF" w:rsidRDefault="003376C1" w:rsidP="003376C1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E4CE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參訓對象</w:t>
            </w:r>
          </w:p>
        </w:tc>
      </w:tr>
      <w:tr w:rsidR="003376C1" w:rsidRPr="001E4CEF" w14:paraId="51731DB2" w14:textId="77777777" w:rsidTr="001D295E">
        <w:trPr>
          <w:trHeight w:val="4186"/>
        </w:trPr>
        <w:tc>
          <w:tcPr>
            <w:tcW w:w="4394" w:type="dxa"/>
            <w:vAlign w:val="center"/>
          </w:tcPr>
          <w:p w14:paraId="7E364AAE" w14:textId="0467502E" w:rsidR="00976004" w:rsidRPr="00976004" w:rsidRDefault="000202D7" w:rsidP="00E16A73">
            <w:pPr>
              <w:pStyle w:val="aa"/>
              <w:widowControl/>
              <w:numPr>
                <w:ilvl w:val="0"/>
                <w:numId w:val="7"/>
              </w:numPr>
              <w:snapToGrid w:val="0"/>
              <w:spacing w:beforeLines="50" w:before="180" w:line="240" w:lineRule="atLeast"/>
              <w:ind w:leftChars="0" w:left="289" w:hanging="289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最有利標手冊及相關法令修正事項說明</w:t>
            </w:r>
          </w:p>
          <w:p w14:paraId="47B55811" w14:textId="0124F559" w:rsidR="003376C1" w:rsidRDefault="000202D7" w:rsidP="00E16A73">
            <w:pPr>
              <w:pStyle w:val="aa"/>
              <w:widowControl/>
              <w:numPr>
                <w:ilvl w:val="0"/>
                <w:numId w:val="7"/>
              </w:numPr>
              <w:snapToGrid w:val="0"/>
              <w:spacing w:beforeLines="50" w:before="180" w:line="240" w:lineRule="atLeast"/>
              <w:ind w:leftChars="0" w:left="289" w:hanging="289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202D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最有利標評選作業案例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探討及</w:t>
            </w:r>
            <w:r w:rsidRPr="000202D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執行</w:t>
            </w:r>
            <w:r w:rsidRPr="0097600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注意事項</w:t>
            </w:r>
          </w:p>
          <w:p w14:paraId="2DAEC237" w14:textId="2C67174C" w:rsidR="0098218E" w:rsidRPr="00976004" w:rsidRDefault="000202D7" w:rsidP="0098218E">
            <w:pPr>
              <w:pStyle w:val="aa"/>
              <w:widowControl/>
              <w:numPr>
                <w:ilvl w:val="0"/>
                <w:numId w:val="7"/>
              </w:numPr>
              <w:snapToGrid w:val="0"/>
              <w:spacing w:beforeLines="50" w:before="180" w:line="240" w:lineRule="atLeast"/>
              <w:ind w:leftChars="0" w:left="289" w:hanging="289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202D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錯誤態樣預防解析</w:t>
            </w:r>
          </w:p>
        </w:tc>
        <w:tc>
          <w:tcPr>
            <w:tcW w:w="2693" w:type="dxa"/>
            <w:vAlign w:val="center"/>
          </w:tcPr>
          <w:p w14:paraId="260E31B4" w14:textId="77777777" w:rsidR="007B1404" w:rsidRDefault="00AA7344" w:rsidP="00E16A73">
            <w:pPr>
              <w:snapToGrid w:val="0"/>
              <w:spacing w:beforeLines="50" w:before="180"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73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行政院公共工程委員會</w:t>
            </w:r>
          </w:p>
          <w:p w14:paraId="24C6A769" w14:textId="4806770F" w:rsidR="00AA7344" w:rsidRPr="007B1404" w:rsidRDefault="00E532E1" w:rsidP="00F065FF">
            <w:pPr>
              <w:snapToGrid w:val="0"/>
              <w:spacing w:beforeLines="50" w:before="180"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林如容前技士</w:t>
            </w:r>
          </w:p>
        </w:tc>
        <w:tc>
          <w:tcPr>
            <w:tcW w:w="2127" w:type="dxa"/>
            <w:vAlign w:val="center"/>
          </w:tcPr>
          <w:p w14:paraId="74112987" w14:textId="77777777" w:rsidR="003376C1" w:rsidRPr="001E4CEF" w:rsidRDefault="003376C1" w:rsidP="00E16A73">
            <w:pPr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E4CEF">
              <w:rPr>
                <w:rFonts w:ascii="標楷體" w:eastAsia="標楷體" w:hAnsi="標楷體" w:cs="Times New Roman" w:hint="eastAsia"/>
                <w:sz w:val="28"/>
                <w:szCs w:val="28"/>
              </w:rPr>
              <w:t>桃園市政府各機關暨所屬機關學校、各區公所採購相關人員。</w:t>
            </w:r>
          </w:p>
        </w:tc>
      </w:tr>
    </w:tbl>
    <w:p w14:paraId="48472708" w14:textId="77777777" w:rsidR="003376C1" w:rsidRPr="001E4CEF" w:rsidRDefault="003376C1" w:rsidP="003376C1">
      <w:pPr>
        <w:widowControl/>
        <w:tabs>
          <w:tab w:val="num" w:pos="1120"/>
        </w:tabs>
        <w:snapToGrid w:val="0"/>
        <w:spacing w:beforeLines="50" w:before="180" w:beforeAutospacing="1" w:after="100" w:afterAutospacing="1"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4AED7D3" w14:textId="4972544F" w:rsidR="003376C1" w:rsidRPr="001E4CEF" w:rsidRDefault="003376C1" w:rsidP="003376C1">
      <w:pPr>
        <w:widowControl/>
        <w:tabs>
          <w:tab w:val="num" w:pos="1120"/>
        </w:tabs>
        <w:snapToGrid w:val="0"/>
        <w:spacing w:beforeLines="50" w:before="180" w:beforeAutospacing="1" w:after="100" w:afterAutospacing="1"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3376C1" w:rsidRPr="001E4CEF" w:rsidSect="003207AE">
      <w:pgSz w:w="11906" w:h="16838"/>
      <w:pgMar w:top="1077" w:right="127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A8E33" w14:textId="77777777" w:rsidR="00E273BA" w:rsidRDefault="00E273BA" w:rsidP="003376C1">
      <w:r>
        <w:separator/>
      </w:r>
    </w:p>
  </w:endnote>
  <w:endnote w:type="continuationSeparator" w:id="0">
    <w:p w14:paraId="242CB49E" w14:textId="77777777" w:rsidR="00E273BA" w:rsidRDefault="00E273BA" w:rsidP="0033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E3530" w14:textId="77777777" w:rsidR="00E273BA" w:rsidRDefault="00E273BA" w:rsidP="003376C1">
      <w:r>
        <w:separator/>
      </w:r>
    </w:p>
  </w:footnote>
  <w:footnote w:type="continuationSeparator" w:id="0">
    <w:p w14:paraId="6DDAC815" w14:textId="77777777" w:rsidR="00E273BA" w:rsidRDefault="00E273BA" w:rsidP="00337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C6BF7"/>
    <w:multiLevelType w:val="hybridMultilevel"/>
    <w:tmpl w:val="24B21818"/>
    <w:lvl w:ilvl="0" w:tplc="2006D126">
      <w:start w:val="1"/>
      <w:numFmt w:val="decimal"/>
      <w:lvlText w:val="%1."/>
      <w:lvlJc w:val="left"/>
      <w:pPr>
        <w:ind w:left="290" w:hanging="2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37025F"/>
    <w:multiLevelType w:val="hybridMultilevel"/>
    <w:tmpl w:val="C2DE690E"/>
    <w:lvl w:ilvl="0" w:tplc="0DA26F3C">
      <w:start w:val="2"/>
      <w:numFmt w:val="taiwaneseCountingThousand"/>
      <w:lvlText w:val="（%1）"/>
      <w:lvlJc w:val="left"/>
      <w:pPr>
        <w:ind w:left="17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1E8E66A6"/>
    <w:multiLevelType w:val="hybridMultilevel"/>
    <w:tmpl w:val="686E9F76"/>
    <w:lvl w:ilvl="0" w:tplc="CF826894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60B402C"/>
    <w:multiLevelType w:val="hybridMultilevel"/>
    <w:tmpl w:val="38F8DF0C"/>
    <w:lvl w:ilvl="0" w:tplc="388E20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A0E61E9"/>
    <w:multiLevelType w:val="hybridMultilevel"/>
    <w:tmpl w:val="D13EE6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F64EC1"/>
    <w:multiLevelType w:val="hybridMultilevel"/>
    <w:tmpl w:val="FCE81EB8"/>
    <w:lvl w:ilvl="0" w:tplc="11E257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142D3F"/>
    <w:multiLevelType w:val="hybridMultilevel"/>
    <w:tmpl w:val="17600ACE"/>
    <w:lvl w:ilvl="0" w:tplc="388E20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0C0719"/>
    <w:multiLevelType w:val="hybridMultilevel"/>
    <w:tmpl w:val="0FE05FA2"/>
    <w:lvl w:ilvl="0" w:tplc="19D211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637333"/>
    <w:multiLevelType w:val="hybridMultilevel"/>
    <w:tmpl w:val="9A4E2E3C"/>
    <w:lvl w:ilvl="0" w:tplc="353A46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FA1BB5"/>
    <w:multiLevelType w:val="hybridMultilevel"/>
    <w:tmpl w:val="9FFAC920"/>
    <w:lvl w:ilvl="0" w:tplc="735280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F24848"/>
    <w:multiLevelType w:val="hybridMultilevel"/>
    <w:tmpl w:val="C65C4A0C"/>
    <w:lvl w:ilvl="0" w:tplc="7534E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98128118">
    <w:abstractNumId w:val="6"/>
  </w:num>
  <w:num w:numId="2" w16cid:durableId="79445673">
    <w:abstractNumId w:val="3"/>
  </w:num>
  <w:num w:numId="3" w16cid:durableId="2029214506">
    <w:abstractNumId w:val="4"/>
  </w:num>
  <w:num w:numId="4" w16cid:durableId="193278307">
    <w:abstractNumId w:val="9"/>
  </w:num>
  <w:num w:numId="5" w16cid:durableId="1344357262">
    <w:abstractNumId w:val="2"/>
  </w:num>
  <w:num w:numId="6" w16cid:durableId="2029674171">
    <w:abstractNumId w:val="1"/>
  </w:num>
  <w:num w:numId="7" w16cid:durableId="2005546755">
    <w:abstractNumId w:val="0"/>
  </w:num>
  <w:num w:numId="8" w16cid:durableId="843934763">
    <w:abstractNumId w:val="10"/>
  </w:num>
  <w:num w:numId="9" w16cid:durableId="70735924">
    <w:abstractNumId w:val="5"/>
  </w:num>
  <w:num w:numId="10" w16cid:durableId="1411730872">
    <w:abstractNumId w:val="8"/>
  </w:num>
  <w:num w:numId="11" w16cid:durableId="295378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80"/>
    <w:rsid w:val="000202D7"/>
    <w:rsid w:val="00035C95"/>
    <w:rsid w:val="000507BB"/>
    <w:rsid w:val="00066100"/>
    <w:rsid w:val="0007772A"/>
    <w:rsid w:val="00081DFF"/>
    <w:rsid w:val="000D6C15"/>
    <w:rsid w:val="000F186E"/>
    <w:rsid w:val="000F281D"/>
    <w:rsid w:val="000F39AD"/>
    <w:rsid w:val="001062FF"/>
    <w:rsid w:val="00111BF6"/>
    <w:rsid w:val="0011226A"/>
    <w:rsid w:val="00130D56"/>
    <w:rsid w:val="00152329"/>
    <w:rsid w:val="0016707C"/>
    <w:rsid w:val="00174880"/>
    <w:rsid w:val="00175D7B"/>
    <w:rsid w:val="001E4CEF"/>
    <w:rsid w:val="001F1E12"/>
    <w:rsid w:val="001F2BA3"/>
    <w:rsid w:val="001F7912"/>
    <w:rsid w:val="002544AF"/>
    <w:rsid w:val="00296066"/>
    <w:rsid w:val="002C422A"/>
    <w:rsid w:val="002C5333"/>
    <w:rsid w:val="002D017F"/>
    <w:rsid w:val="00300CCA"/>
    <w:rsid w:val="003207AE"/>
    <w:rsid w:val="003376C1"/>
    <w:rsid w:val="003A1D58"/>
    <w:rsid w:val="003C51E7"/>
    <w:rsid w:val="0040758A"/>
    <w:rsid w:val="00437E4B"/>
    <w:rsid w:val="00464A4D"/>
    <w:rsid w:val="00483F44"/>
    <w:rsid w:val="0049700B"/>
    <w:rsid w:val="00497556"/>
    <w:rsid w:val="004C2885"/>
    <w:rsid w:val="004C377A"/>
    <w:rsid w:val="004D30C9"/>
    <w:rsid w:val="004E4732"/>
    <w:rsid w:val="00501B5C"/>
    <w:rsid w:val="005068C0"/>
    <w:rsid w:val="00527020"/>
    <w:rsid w:val="00546CDF"/>
    <w:rsid w:val="00551C24"/>
    <w:rsid w:val="0058417C"/>
    <w:rsid w:val="005B0097"/>
    <w:rsid w:val="005F3442"/>
    <w:rsid w:val="00601ECE"/>
    <w:rsid w:val="00612159"/>
    <w:rsid w:val="0062316B"/>
    <w:rsid w:val="006409E2"/>
    <w:rsid w:val="006465F8"/>
    <w:rsid w:val="006674C5"/>
    <w:rsid w:val="00693039"/>
    <w:rsid w:val="006D0EC1"/>
    <w:rsid w:val="00702FB3"/>
    <w:rsid w:val="00705B86"/>
    <w:rsid w:val="00715198"/>
    <w:rsid w:val="0076199E"/>
    <w:rsid w:val="007657A9"/>
    <w:rsid w:val="007B1404"/>
    <w:rsid w:val="007D485F"/>
    <w:rsid w:val="007E0181"/>
    <w:rsid w:val="007E7102"/>
    <w:rsid w:val="00802AD3"/>
    <w:rsid w:val="0084162F"/>
    <w:rsid w:val="00843727"/>
    <w:rsid w:val="00866257"/>
    <w:rsid w:val="008B711C"/>
    <w:rsid w:val="008C487F"/>
    <w:rsid w:val="008D7DB5"/>
    <w:rsid w:val="008F552C"/>
    <w:rsid w:val="009050F6"/>
    <w:rsid w:val="009110D2"/>
    <w:rsid w:val="00923769"/>
    <w:rsid w:val="00975D01"/>
    <w:rsid w:val="00976004"/>
    <w:rsid w:val="0098218E"/>
    <w:rsid w:val="00994B9E"/>
    <w:rsid w:val="00994F1A"/>
    <w:rsid w:val="009A3676"/>
    <w:rsid w:val="009B7B7C"/>
    <w:rsid w:val="00A2224C"/>
    <w:rsid w:val="00A46292"/>
    <w:rsid w:val="00A53078"/>
    <w:rsid w:val="00A56B44"/>
    <w:rsid w:val="00A61A4A"/>
    <w:rsid w:val="00A76FE7"/>
    <w:rsid w:val="00AA7344"/>
    <w:rsid w:val="00AC1DEB"/>
    <w:rsid w:val="00AE5ED4"/>
    <w:rsid w:val="00AF79E0"/>
    <w:rsid w:val="00B415AE"/>
    <w:rsid w:val="00B44D32"/>
    <w:rsid w:val="00B52C48"/>
    <w:rsid w:val="00B546DC"/>
    <w:rsid w:val="00B56473"/>
    <w:rsid w:val="00B64BDF"/>
    <w:rsid w:val="00B826F5"/>
    <w:rsid w:val="00B92BB1"/>
    <w:rsid w:val="00B97F99"/>
    <w:rsid w:val="00BA4385"/>
    <w:rsid w:val="00BA56B2"/>
    <w:rsid w:val="00BE1926"/>
    <w:rsid w:val="00C11151"/>
    <w:rsid w:val="00C149CD"/>
    <w:rsid w:val="00C6785A"/>
    <w:rsid w:val="00C77707"/>
    <w:rsid w:val="00C869E1"/>
    <w:rsid w:val="00C8754E"/>
    <w:rsid w:val="00C95E90"/>
    <w:rsid w:val="00CE5FF7"/>
    <w:rsid w:val="00D27C1B"/>
    <w:rsid w:val="00D40E08"/>
    <w:rsid w:val="00D73F5C"/>
    <w:rsid w:val="00D748EF"/>
    <w:rsid w:val="00DD1C8F"/>
    <w:rsid w:val="00E110F4"/>
    <w:rsid w:val="00E16633"/>
    <w:rsid w:val="00E16A73"/>
    <w:rsid w:val="00E265FE"/>
    <w:rsid w:val="00E273BA"/>
    <w:rsid w:val="00E348D1"/>
    <w:rsid w:val="00E532E1"/>
    <w:rsid w:val="00E64504"/>
    <w:rsid w:val="00E6724B"/>
    <w:rsid w:val="00E73CA2"/>
    <w:rsid w:val="00E77E56"/>
    <w:rsid w:val="00EB7383"/>
    <w:rsid w:val="00EF1224"/>
    <w:rsid w:val="00F065FF"/>
    <w:rsid w:val="00F0701F"/>
    <w:rsid w:val="00F10D88"/>
    <w:rsid w:val="00F1167A"/>
    <w:rsid w:val="00F13384"/>
    <w:rsid w:val="00F6104C"/>
    <w:rsid w:val="00F626AF"/>
    <w:rsid w:val="00F62B93"/>
    <w:rsid w:val="00F91FE4"/>
    <w:rsid w:val="00FB22A0"/>
    <w:rsid w:val="00FE7E2B"/>
    <w:rsid w:val="00FF03B1"/>
    <w:rsid w:val="00FF0FCC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60CC7"/>
  <w15:chartTrackingRefBased/>
  <w15:docId w15:val="{6EECF3EF-AD5C-42A4-AED9-C976FFE5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0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76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7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76C1"/>
    <w:rPr>
      <w:sz w:val="20"/>
      <w:szCs w:val="20"/>
    </w:rPr>
  </w:style>
  <w:style w:type="character" w:styleId="a7">
    <w:name w:val="Hyperlink"/>
    <w:basedOn w:val="a0"/>
    <w:uiPriority w:val="99"/>
    <w:unhideWhenUsed/>
    <w:rsid w:val="00D73F5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67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72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C2885"/>
    <w:pPr>
      <w:ind w:leftChars="200" w:left="480"/>
    </w:pPr>
  </w:style>
  <w:style w:type="table" w:styleId="ab">
    <w:name w:val="Table Grid"/>
    <w:basedOn w:val="a1"/>
    <w:uiPriority w:val="39"/>
    <w:rsid w:val="00976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曾宏語</dc:creator>
  <cp:keywords/>
  <dc:description/>
  <cp:lastModifiedBy>王熙賢</cp:lastModifiedBy>
  <cp:revision>4</cp:revision>
  <cp:lastPrinted>2025-04-21T04:57:00Z</cp:lastPrinted>
  <dcterms:created xsi:type="dcterms:W3CDTF">2025-04-21T02:41:00Z</dcterms:created>
  <dcterms:modified xsi:type="dcterms:W3CDTF">2025-05-05T10:15:00Z</dcterms:modified>
</cp:coreProperties>
</file>